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IV/ AP Art Mentorship Program</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Need:</w:t>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students of AP Art and Art IV are expected to engage in the art community in a variety of ways. As seen in the following passage from the AP Art Syllabus.</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will understand contemporary and historic movements in the art world. Along with the completion of assignments, students are expected to engage in the art world by visiting community arts establishments on their own.”</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Justification: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the expected outcomes for participating in AP Art is the students will learn how to participate as an artist in the local art community. In a series of interviews the students will engage and learn from professional artists in the area. From this they can get feedback on their own work as a maturing artist.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Project:</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student will research and select a practicing artist from the surrounding communities (Richmond, New Kent, Williamsburg) and make contact with the artist. At all points of contact, the teacher will  monitor this communication. If the artist is willing, the student will conduct three interviews over the span of the course.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Pre- work: In 3 paragraphs, define and describe what it means to be a successful artist.</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Interview 1: Artist’s development; how did the artist become successful?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Interview 2: Artist’s Process; how does the artist create their work and maintain their business?</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Interview 3: Artist’s Analysis; the artist is asked to provide feedback on the student’s work,</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Permission:</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student is working outside of the school community, they are required to acquire permission from their parent or guardian to participate. If they do not obtain permission, they will instead research published artist interviews to write a research paper on an artist in the art world.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Name: __________________</w:t>
        <w:tab/>
        <w:t xml:space="preserve">Signature: ___________ Date:____</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 Guardian Name:_____________       Signature:___________ Date:____</w:t>
      </w:r>
    </w:p>
    <w:sectPr>
      <w:pgSz w:h="15840" w:w="12240"/>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